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C557E" w:rsidRDefault="005C557E" w:rsidP="00D72D14">
      <w:pPr>
        <w:ind w:left="851" w:righ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57E">
        <w:rPr>
          <w:rFonts w:ascii="Times New Roman" w:hAnsi="Times New Roman" w:cs="Times New Roman"/>
          <w:b/>
          <w:bCs/>
          <w:sz w:val="24"/>
          <w:szCs w:val="24"/>
        </w:rPr>
        <w:t xml:space="preserve">LA </w:t>
      </w:r>
      <w:r w:rsidR="00D72D14">
        <w:rPr>
          <w:rFonts w:ascii="Times New Roman" w:hAnsi="Times New Roman" w:cs="Times New Roman"/>
          <w:b/>
          <w:bCs/>
          <w:sz w:val="24"/>
          <w:szCs w:val="24"/>
        </w:rPr>
        <w:t>TUELA</w:t>
      </w:r>
      <w:r w:rsidRPr="005C557E">
        <w:rPr>
          <w:rFonts w:ascii="Times New Roman" w:hAnsi="Times New Roman" w:cs="Times New Roman"/>
          <w:b/>
          <w:bCs/>
          <w:sz w:val="24"/>
          <w:szCs w:val="24"/>
        </w:rPr>
        <w:t xml:space="preserve"> DEI RIDERS </w:t>
      </w:r>
      <w:r w:rsidR="00D72D14">
        <w:rPr>
          <w:rFonts w:ascii="Times New Roman" w:hAnsi="Times New Roman" w:cs="Times New Roman"/>
          <w:b/>
          <w:bCs/>
          <w:sz w:val="24"/>
          <w:szCs w:val="24"/>
        </w:rPr>
        <w:t>CHE EFFETTUANO CONSEGNE A DOMICLIO</w:t>
      </w:r>
    </w:p>
    <w:p w:rsidR="005C557E" w:rsidRDefault="005C557E" w:rsidP="005C557E">
      <w:pPr>
        <w:ind w:left="851" w:right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D14" w:rsidRDefault="00D72D14" w:rsidP="005C557E">
      <w:pPr>
        <w:ind w:left="851" w:right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C557E" w:rsidRDefault="005C557E" w:rsidP="005C557E">
      <w:pPr>
        <w:ind w:left="851" w:right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Dott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Marco Massavelli</w:t>
      </w:r>
    </w:p>
    <w:p w:rsidR="005C557E" w:rsidRPr="005C557E" w:rsidRDefault="005C557E" w:rsidP="005C557E">
      <w:pPr>
        <w:ind w:left="851" w:right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Vice Comandante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Polizia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Locale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Giaveno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(TO)</w:t>
      </w:r>
    </w:p>
    <w:p w:rsidR="005C557E" w:rsidRDefault="005C557E" w:rsidP="00A73F50">
      <w:pPr>
        <w:ind w:left="851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72D14"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questioni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attualmente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mette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rischio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sicurezza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circolazione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stradale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è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presenza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sulle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nostre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strade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c.d.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ciclo-fattorini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piattaforme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digitali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cioè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quei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soggetti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bordo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loro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biciclette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effettuano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consegne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domiclio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prodotti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alimentari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ciascuno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acquistato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tramite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specifiche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applicazioni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cellular e tablet.</w:t>
      </w: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soggetti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il </w:t>
      </w:r>
      <w:r w:rsidR="00D64C75">
        <w:rPr>
          <w:rFonts w:ascii="Times New Roman" w:hAnsi="Times New Roman" w:cs="Times New Roman"/>
          <w:sz w:val="24"/>
          <w:szCs w:val="24"/>
        </w:rPr>
        <w:t>l</w:t>
      </w:r>
      <w:r w:rsidRPr="00D72D14">
        <w:rPr>
          <w:rFonts w:ascii="Times New Roman" w:hAnsi="Times New Roman" w:cs="Times New Roman"/>
          <w:sz w:val="24"/>
          <w:szCs w:val="24"/>
        </w:rPr>
        <w:t xml:space="preserve">egislatore ha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previsto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alcune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speifiche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tutele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materia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>.</w:t>
      </w: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L'attività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lavorativa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ciclo-fattorini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72D14">
        <w:rPr>
          <w:rFonts w:ascii="Times New Roman" w:hAnsi="Times New Roman" w:cs="Times New Roman"/>
          <w:sz w:val="24"/>
          <w:szCs w:val="24"/>
        </w:rPr>
        <w:t>piattaforme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digitali</w:t>
      </w:r>
      <w:proofErr w:type="spellEnd"/>
      <w:proofErr w:type="gramEnd"/>
      <w:r w:rsidRPr="00D72D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trova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 la  propria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corpo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legislativo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giugno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2015, n. 81,  come 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modificato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integrato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legge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novembre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2019, n. 128,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conversione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decreto-legge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n. 101 del 2019</w:t>
      </w: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72D1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legge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n. 128/2019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attribuisce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ai c.d. riders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tutele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differenziate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seconda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loro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attività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riconducibile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nozione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etero-organizzazione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cui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2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. n. 81/2015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ovvero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dettata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dall'art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. 47-bis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stesso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specifico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riferimento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ciclo-fattorini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autonomi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fatta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naturalmente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ricorrendone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presupposti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secondo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generali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criteri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accertamento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l'applicabilità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fattispecie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cui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2094,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codice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civile.</w:t>
      </w: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Preme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riguardo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preliminarmente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osservare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definizione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ciclo-fattorino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piattaforma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contenute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nell'articolo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47-bis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. n. 81/2015,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dedicato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in via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tutela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tramite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piattaforme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>.</w:t>
      </w:r>
    </w:p>
    <w:p w:rsidR="005C557E" w:rsidRPr="00D72D14" w:rsidRDefault="005C557E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5C557E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72D1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virtù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loro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configurazione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entrambe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nozioni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ciclo-fattorino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piattaforma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digitale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peraltro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dotate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una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valenza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riferibile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ipotesi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cui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l'attività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lavorativa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risulti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inquadrabile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previsione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cui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stessa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riconducibile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previsione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47-bis. </w:t>
      </w: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Ciò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desumile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formulazione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termini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essenzialmente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descrittivo-fenomenici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due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nozioni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giacché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limitano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descrivere</w:t>
      </w:r>
      <w:proofErr w:type="spellEnd"/>
      <w:r w:rsidR="005C557E"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conformemente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rubrica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Capo V-bis</w:t>
      </w:r>
      <w:r w:rsidR="005C557E"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C557E" w:rsidRPr="00D72D14">
        <w:rPr>
          <w:rFonts w:ascii="Times New Roman" w:hAnsi="Times New Roman" w:cs="Times New Roman"/>
          <w:sz w:val="24"/>
          <w:szCs w:val="24"/>
        </w:rPr>
        <w:t>t</w:t>
      </w:r>
      <w:r w:rsidRPr="00D72D14">
        <w:rPr>
          <w:rFonts w:ascii="Times New Roman" w:hAnsi="Times New Roman" w:cs="Times New Roman"/>
          <w:sz w:val="24"/>
          <w:szCs w:val="24"/>
        </w:rPr>
        <w:t>aluni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tratti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identificativi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carattere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generale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normalmente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ricorrenti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modus operandi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piattaforma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connotanti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l'attività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ciclo-fattorino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appaiono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suscettibili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operare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prescindere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tipologia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negoziale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rilievo, come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evince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dall'articolo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2, comma 1,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n. 81/2015,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così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modificato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legge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n. 128/2019.</w:t>
      </w:r>
    </w:p>
    <w:p w:rsidR="005C557E" w:rsidRPr="00D72D14" w:rsidRDefault="005C557E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Ciò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chiarito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rende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opportuno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delineare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succintamente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contorni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questa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segnatamente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l'ambito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applicativo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due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previsioni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riferimento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osservando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premessa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quello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47-bis, in forza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dell'espressa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clausola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salvezza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disposto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dall'articolo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2, comma 1, è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disegnato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come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residuale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rapporto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 tale ultima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previsione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questa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quindi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costituisce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l'ipotesi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attrattiva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prevalente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dell'attività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riders.</w:t>
      </w: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72D14">
        <w:rPr>
          <w:rFonts w:ascii="Times New Roman" w:hAnsi="Times New Roman" w:cs="Times New Roman"/>
          <w:sz w:val="24"/>
          <w:szCs w:val="24"/>
        </w:rPr>
        <w:t xml:space="preserve">Nel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cui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riders, per le concrete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modalità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operative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osservate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lavorino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via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continuativa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 con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attività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prevalentemente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personale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secondo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modalità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esecutive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r w:rsidRPr="00D72D14">
        <w:rPr>
          <w:rFonts w:ascii="Times New Roman" w:hAnsi="Times New Roman" w:cs="Times New Roman"/>
          <w:sz w:val="24"/>
          <w:szCs w:val="24"/>
        </w:rPr>
        <w:lastRenderedPageBreak/>
        <w:t xml:space="preserve">definite dal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committente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attraverso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piattaforma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sarà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applicabile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previsione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2;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ciò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prescindere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fatto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l'etero-organizzazione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eserciti</w:t>
      </w:r>
      <w:proofErr w:type="spellEnd"/>
      <w:r w:rsidR="005C557E" w:rsidRPr="00D72D14">
        <w:rPr>
          <w:rFonts w:ascii="Times New Roman" w:hAnsi="Times New Roman" w:cs="Times New Roman"/>
          <w:sz w:val="24"/>
          <w:szCs w:val="24"/>
        </w:rPr>
        <w:t xml:space="preserve"> </w:t>
      </w:r>
      <w:r w:rsidRPr="00D72D1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riferimento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ai tempi e al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luogo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», come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invece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esigeva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vecchia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formulazione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ora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soppress</w:t>
      </w:r>
      <w:r w:rsidR="005C557E" w:rsidRPr="00D72D1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C557E" w:rsidRPr="00D72D14">
        <w:rPr>
          <w:rFonts w:ascii="Times New Roman" w:hAnsi="Times New Roman" w:cs="Times New Roman"/>
          <w:sz w:val="24"/>
          <w:szCs w:val="24"/>
        </w:rPr>
        <w:t>.</w:t>
      </w:r>
    </w:p>
    <w:p w:rsidR="005C557E" w:rsidRPr="00D72D14" w:rsidRDefault="005C557E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72D1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tal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ricorrendo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estremi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costitutivi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fattispecie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norma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garantisce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l'applicazione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rapporto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subordinato</w:t>
      </w:r>
      <w:proofErr w:type="spellEnd"/>
      <w:r w:rsidR="005C557E" w:rsidRPr="00D72D14">
        <w:rPr>
          <w:rFonts w:ascii="Times New Roman" w:hAnsi="Times New Roman" w:cs="Times New Roman"/>
          <w:sz w:val="24"/>
          <w:szCs w:val="24"/>
        </w:rPr>
        <w:t xml:space="preserve">, </w:t>
      </w:r>
      <w:r w:rsidRPr="00D72D14">
        <w:rPr>
          <w:rFonts w:ascii="Times New Roman" w:hAnsi="Times New Roman" w:cs="Times New Roman"/>
          <w:sz w:val="24"/>
          <w:szCs w:val="24"/>
        </w:rPr>
        <w:t xml:space="preserve">come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confermato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sentenza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n. 1663 del 2020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Corte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Cassazione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salvo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esistano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accordi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collettivi</w:t>
      </w:r>
      <w:proofErr w:type="spellEnd"/>
      <w:r w:rsidR="005C557E"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nazionali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stipulati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associazioni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sindacali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comparativamente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rappresentative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piano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nazionale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prevedano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discipline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specifiche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riguardanti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trattamento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economico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normativo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ragione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particolari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esigenze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produttive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ed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organizzative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relativo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settore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>.</w:t>
      </w:r>
    </w:p>
    <w:p w:rsidR="005C557E" w:rsidRPr="00D72D14" w:rsidRDefault="005C557E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72D14">
        <w:rPr>
          <w:rFonts w:ascii="Times New Roman" w:hAnsi="Times New Roman" w:cs="Times New Roman"/>
          <w:sz w:val="24"/>
          <w:szCs w:val="24"/>
        </w:rPr>
        <w:t xml:space="preserve">Nelle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ipotesi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cui,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invece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riders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lavorino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mancanza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condizioni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subordinazione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requisiti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previsti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dall'articolo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applicherà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il Capo V-bis.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Ciò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accade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particolare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qualora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essi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svolgano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prestazione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carattere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occasionale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ossia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priva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carattere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continuità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richiesto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dall'articolo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2 come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necessario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requisito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integrare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fattispecie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rapporti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collaborazione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organizzati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committente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>.</w:t>
      </w: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72D14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requisito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continuità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discorso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determina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tanto con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riferimento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reiterazione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prestazione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riferimento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rapporto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pur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dinanzi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all'occasionalità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prestazione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rileva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altresì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l'interesse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committente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ripetersi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prestazione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lavorativa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disponibilità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collaboratore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eseguirla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all'interno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un arco di tempo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apprezzabile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>.</w:t>
      </w: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72D1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questi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lavoratori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autonomi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svolgono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attività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consegna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beni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proofErr w:type="gramStart"/>
      <w:r w:rsidRPr="00D72D14">
        <w:rPr>
          <w:rFonts w:ascii="Times New Roman" w:hAnsi="Times New Roman" w:cs="Times New Roman"/>
          <w:sz w:val="24"/>
          <w:szCs w:val="24"/>
        </w:rPr>
        <w:t>conto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altrui</w:t>
      </w:r>
      <w:proofErr w:type="spellEnd"/>
      <w:proofErr w:type="gramEnd"/>
      <w:r w:rsidRPr="00D72D14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attraverso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piattaforme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digitali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», la 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legge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garantisce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Capo  V-bis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>.</w:t>
      </w:r>
      <w:r w:rsidR="005C557E" w:rsidRPr="00D72D14">
        <w:rPr>
          <w:rFonts w:ascii="Times New Roman" w:hAnsi="Times New Roman" w:cs="Times New Roman"/>
          <w:sz w:val="24"/>
          <w:szCs w:val="24"/>
        </w:rPr>
        <w:t xml:space="preserve"> </w:t>
      </w:r>
      <w:r w:rsidRPr="00D72D14">
        <w:rPr>
          <w:rFonts w:ascii="Times New Roman" w:hAnsi="Times New Roman" w:cs="Times New Roman"/>
          <w:sz w:val="24"/>
          <w:szCs w:val="24"/>
        </w:rPr>
        <w:t xml:space="preserve">n.  81/2015, un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corredo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rilevante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diritti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costituiscono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peraltro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livelli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minimi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tutela.</w:t>
      </w: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72D14"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tratta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diritti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vanno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quindi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riconosciuti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="005C557E" w:rsidRPr="00D72D14">
        <w:rPr>
          <w:rFonts w:ascii="Times New Roman" w:hAnsi="Times New Roman" w:cs="Times New Roman"/>
          <w:sz w:val="24"/>
          <w:szCs w:val="24"/>
        </w:rPr>
        <w:t xml:space="preserve">, </w:t>
      </w:r>
      <w:r w:rsidRPr="00D72D14">
        <w:rPr>
          <w:rFonts w:ascii="Times New Roman" w:hAnsi="Times New Roman" w:cs="Times New Roman"/>
          <w:sz w:val="24"/>
          <w:szCs w:val="24"/>
        </w:rPr>
        <w:t xml:space="preserve">ed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anzi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proprio</w:t>
      </w:r>
      <w:r w:rsidR="005C557E" w:rsidRPr="00D72D14">
        <w:rPr>
          <w:rFonts w:ascii="Times New Roman" w:hAnsi="Times New Roman" w:cs="Times New Roman"/>
          <w:sz w:val="24"/>
          <w:szCs w:val="24"/>
        </w:rPr>
        <w:t>,</w:t>
      </w:r>
      <w:r w:rsidRPr="00D72D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mancanza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un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rapporto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collaborazione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etero-organizzata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ed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mancanza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un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rapporto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collaborazione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coordinata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per il solo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fatto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svolgimento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prestazione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 carattere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autonomo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>.</w:t>
      </w: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72D14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ciò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attiene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compenso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47-quater, primo comma,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demanda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contratti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collettivi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facoltà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definire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criteri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determinazione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compenso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complessivo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tengano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modalità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svolgimento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prestazione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dell'organizzazione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committente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. Il secondo comma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stabilisce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poi,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mancanza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stipula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contratti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riders non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possono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retribuiti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base alle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consegne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effettuate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 ai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medesimi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lavoratori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garantito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un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compenso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minimo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orario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parametrato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minimi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tabellari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stabiliti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contratti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collettivi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nazionali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settori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affini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equivalenti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sottoscritti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dalle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organizzazioni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sindacali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datoriali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comparativamente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rappresentative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livello</w:t>
      </w:r>
      <w:proofErr w:type="spellEnd"/>
      <w:r w:rsidR="005C557E"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nazionale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. Si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prevede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inoltre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terzo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comma,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ogni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ai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medesimi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lavoratori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garantita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un'indennità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integrativa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non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inferiore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al 10 per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cento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per il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svolto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notte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durante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festività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o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condizioni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meteorologiche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sfavorevoli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determinata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contratti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cui al comma 1, o,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difetto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con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politiche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sociali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>.</w:t>
      </w: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72D14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riguardo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ritenersi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all'interno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delega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contrattazione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prevista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nel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primo comma non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rientri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facoltà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fissare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compenso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rider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autonomo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facendo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esclusivo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riferimento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cottimo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(c.d. "puro" o "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integrale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").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Ciò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legge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autorizza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contratto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collettivo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fissare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criteri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determinazione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compenso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complessivo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tengano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soltanto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modalità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svolgimento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prestazione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oltre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dell'organizzazione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piattaforma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committente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(c.d.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cottimo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misto); non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lastRenderedPageBreak/>
        <w:t>autorizza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invece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il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contratto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collettivo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determinare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compenso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questione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facendo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esclusivo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riferimento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alle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consegne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effettuate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ogni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singolo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rider (senza il rispetto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alcun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criterio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). Tale forma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compenso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ritenersi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perciò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sempre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vietata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stregua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una tutela minima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inderogabile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fissata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legge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>.</w:t>
      </w: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72D14">
        <w:rPr>
          <w:rFonts w:ascii="Times New Roman" w:hAnsi="Times New Roman" w:cs="Times New Roman"/>
          <w:sz w:val="24"/>
          <w:szCs w:val="24"/>
        </w:rPr>
        <w:t xml:space="preserve">Nella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stessa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coerente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accezione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quindi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inteso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il secondo comma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47-quater, il quale,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mancanza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accordo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collettivo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vieta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sostanza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qualsiasi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forma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compenso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base alle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consegne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effettuate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(e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dunque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quello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determinato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attraverso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cottimo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misto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consentito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dal primo comma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presenza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contrattazione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>).</w:t>
      </w: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72D14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contratti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collettivi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abilitati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dettare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una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prevalente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rispetto 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sono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tanto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nell'articolo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nell'articolo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47-quater,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quelli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stipulati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dalle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associazioni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sindacali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comparativamente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rappresentative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piano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nazionale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. Come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legge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sentenza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Corte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costituzionale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n. 51 del 2015</w:t>
      </w:r>
      <w:r w:rsidR="002818CE" w:rsidRPr="00D72D14">
        <w:rPr>
          <w:rFonts w:ascii="Times New Roman" w:hAnsi="Times New Roman" w:cs="Times New Roman"/>
          <w:sz w:val="24"/>
          <w:szCs w:val="24"/>
        </w:rPr>
        <w:t xml:space="preserve">, </w:t>
      </w:r>
      <w:r w:rsidRPr="00D72D1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materia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retribuzione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soci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lavoratori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cooperative,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attraverso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tale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tecnica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legislatore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propone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contrastare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forme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competizione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salariale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ribasso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linea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l'indirizzo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giurisprudenziale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da tempo,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ritiene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conforme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requisiti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proporzionalità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sufficienza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(art. 36 Cost.)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retribuzione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concordata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contratti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collettivi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firmati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associazioni</w:t>
      </w:r>
      <w:proofErr w:type="spellEnd"/>
      <w:r w:rsidR="002818CE"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comparativamente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rappresentative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. Tale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tecnica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estesa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adattata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 quelle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peculiari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figure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autonomo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oggetto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particolare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>, del Capo V-bis.</w:t>
      </w: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72D14">
        <w:rPr>
          <w:rFonts w:ascii="Times New Roman" w:hAnsi="Times New Roman" w:cs="Times New Roman"/>
          <w:sz w:val="24"/>
          <w:szCs w:val="24"/>
        </w:rPr>
        <w:t xml:space="preserve">Secondo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lettera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legge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confermata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da una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sperimentata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giurisprudenza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Corte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Cassazione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: v. 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sentenze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. 4951 e 5189 del 2019),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trattarsi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dunque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per un verso di una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pluralità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agenti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sindacali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e non di un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singolo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agente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giacché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entrambe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parlano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plurale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organizzazioni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sindacali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(con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previsione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nell'articolo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47-bis è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rafforzata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dall'uso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determinativo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). E, per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altro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verso, è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necessario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stesse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organizzazioni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possiedano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requisito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maggiore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rappresentatività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comparativa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individuarsi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sulla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base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degli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indici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comunemente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impiegati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giurisprudenza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ad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esempio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consistenza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numerica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sindacato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una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significativa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presenza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territoriale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piano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nazionale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partecipazione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azioni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autotutela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formazione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stipulazione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contratti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collettivi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l'intervento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nelle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controversie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individuali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plurime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collettive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); da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utilizzarsi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fini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una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valutazione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appunto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chiave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comparativa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per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selezione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quelle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più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rappresentative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>.</w:t>
      </w:r>
    </w:p>
    <w:p w:rsidR="00A27DD1" w:rsidRPr="00D72D14" w:rsidRDefault="00A27DD1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72D14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contratto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collettivo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nazionale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concluso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assenza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criteri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indicati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perché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sottoscritto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organizzazioni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sindacali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non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accertata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maggiore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rappresentatività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comparativa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nell'ambito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categoriale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riferimento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o da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un'unica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organizzazione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sindacale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>,</w:t>
      </w:r>
      <w:r w:rsidR="00A27DD1" w:rsidRPr="00D72D14">
        <w:rPr>
          <w:rFonts w:ascii="Times New Roman" w:hAnsi="Times New Roman" w:cs="Times New Roman"/>
          <w:sz w:val="24"/>
          <w:szCs w:val="24"/>
        </w:rPr>
        <w:t xml:space="preserve"> </w:t>
      </w:r>
      <w:r w:rsidRPr="00D72D14">
        <w:rPr>
          <w:rFonts w:ascii="Times New Roman" w:hAnsi="Times New Roman" w:cs="Times New Roman"/>
          <w:sz w:val="24"/>
          <w:szCs w:val="24"/>
        </w:rPr>
        <w:t xml:space="preserve">non è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idoneo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derogare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 di 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legge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onde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non produce 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l'effetto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sostituzione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tale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minima di tutela con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pattizia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confronti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lavoratori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cui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intende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applicarsi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iscritti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all'organizzazione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stipulante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>.</w:t>
      </w: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Stante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inidoneità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contratto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produrre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un tale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effetto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disabilitante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tutele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risulterà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pienamente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applicabile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- 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seconda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casi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-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previsione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2, primo comma, o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47-quater, secondo comma,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onde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lavoratore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avrà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diritto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tutelabile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anche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con lo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strumento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diffida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accertativa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ex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12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legislativo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n. 124/2004,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all'eventuale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differenza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importi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relativi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trattamento</w:t>
      </w:r>
      <w:proofErr w:type="spellEnd"/>
      <w:r w:rsidR="00A27DD1"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economico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discendenti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dall'applicazione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quelli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contrattualmente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previsti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ed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effettivamente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corrisposti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>.</w:t>
      </w: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72D14">
        <w:rPr>
          <w:rFonts w:ascii="Times New Roman" w:hAnsi="Times New Roman" w:cs="Times New Roman"/>
          <w:sz w:val="24"/>
          <w:szCs w:val="24"/>
        </w:rPr>
        <w:t xml:space="preserve">Il Capo V-bis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riconosce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inoltre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ai riders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autonomi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diritto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ottenere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stipula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un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contratto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formale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posto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condizioni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contrattuali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devono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provate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iscritto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(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conformità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stabilito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direttiva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UE 2019/1152); ed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inoltre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diritto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ricevere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ogni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informazione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utile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sulle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condizioni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applicabili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contratto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«per la tutela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loro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interessi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loro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diritti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loro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sicurezza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» (art. 47-ter), con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facoltà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rivolgersi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lastRenderedPageBreak/>
        <w:t>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direzione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territoriale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affinché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intimi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committente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fornire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informazioni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entro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termine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quindici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giorni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L'effettività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diritto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all'informazione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garantita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caso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violazione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attraverso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l'applicazione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sanzioni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previste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dall'articolo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4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legislativo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maggio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1997, n. 152, ed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inoltre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diritto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ad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un'indennità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risarcitoria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>.</w:t>
      </w:r>
    </w:p>
    <w:p w:rsidR="00D72D14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D72D14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legge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(art. 47-quinquies)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riconosce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poi,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l'applicazione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ai riders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autonomi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antidiscriminatoria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stabilita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lavoratori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subordinati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compatibile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con la natura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rapporto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ivi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compreso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l'accesso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piattaforma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. Il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richiamo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deve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essere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inteso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disciplina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 tutela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libertà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dignità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lavoratore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individuata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prima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Statuto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lavoratori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ivi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compreso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l'art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. 4) ed a tutti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fattori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discriminazione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previsti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dall'ordinamento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sesso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razza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etnica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religione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convinzioni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personali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politiche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sindacali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disabilità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orientamento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sessuale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ecc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>.).</w:t>
      </w:r>
    </w:p>
    <w:p w:rsidR="00D72D14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47-sexies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prevede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personali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lavoratori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che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svolgono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loro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attività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attraverso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piattaforme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digitali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siano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trattati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conformità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alle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disposizioni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regolamento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(UE) 2016/679, del 27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aprile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2016, e al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codice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privacy di cui al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legislativo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giugno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2003, n. 196.</w:t>
      </w:r>
    </w:p>
    <w:p w:rsidR="00A73F50" w:rsidRPr="00D72D14" w:rsidRDefault="00A73F50" w:rsidP="00D72D14">
      <w:pPr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Infine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l'articolo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47-septies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prevede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copertura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assicurativa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obbligatoria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contro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infortuni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 le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malattie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professionali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Pertanto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piattaforma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tenuta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a tutti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gli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adempimenti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datore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previsti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dal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Presidente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Repubblica n. 1124/1965. Ed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inoltre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è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tenuta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assicurare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il rispetto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delle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materia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prevenzione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sicurezza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sul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lavoro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di cui al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decreto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legislativo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aprile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2008, n. 81, sempre a propria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cura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72D14">
        <w:rPr>
          <w:rFonts w:ascii="Times New Roman" w:hAnsi="Times New Roman" w:cs="Times New Roman"/>
          <w:sz w:val="24"/>
          <w:szCs w:val="24"/>
        </w:rPr>
        <w:t>spese</w:t>
      </w:r>
      <w:proofErr w:type="spellEnd"/>
      <w:r w:rsidRPr="00D72D14">
        <w:rPr>
          <w:rFonts w:ascii="Times New Roman" w:hAnsi="Times New Roman" w:cs="Times New Roman"/>
          <w:sz w:val="24"/>
          <w:szCs w:val="24"/>
        </w:rPr>
        <w:t>.</w:t>
      </w:r>
    </w:p>
    <w:p w:rsidR="000C093A" w:rsidRPr="00A27DD1" w:rsidRDefault="00D64C75" w:rsidP="00CA3DB4">
      <w:pPr>
        <w:jc w:val="both"/>
      </w:pPr>
    </w:p>
    <w:sectPr w:rsidR="000C093A" w:rsidRPr="00A27DD1" w:rsidSect="00324FD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96E5D"/>
    <w:multiLevelType w:val="hybridMultilevel"/>
    <w:tmpl w:val="6C6A9434"/>
    <w:lvl w:ilvl="0" w:tplc="0AB08064">
      <w:start w:val="1"/>
      <w:numFmt w:val="decimal"/>
      <w:lvlText w:val="%1."/>
      <w:lvlJc w:val="left"/>
      <w:pPr>
        <w:ind w:left="1076" w:hanging="604"/>
        <w:jc w:val="right"/>
      </w:pPr>
      <w:rPr>
        <w:rFonts w:hint="default"/>
        <w:spacing w:val="-1"/>
        <w:w w:val="121"/>
      </w:rPr>
    </w:lvl>
    <w:lvl w:ilvl="1" w:tplc="D93ECC4E">
      <w:numFmt w:val="bullet"/>
      <w:lvlText w:val="•"/>
      <w:lvlJc w:val="left"/>
      <w:pPr>
        <w:ind w:left="2114" w:hanging="604"/>
      </w:pPr>
      <w:rPr>
        <w:rFonts w:hint="default"/>
      </w:rPr>
    </w:lvl>
    <w:lvl w:ilvl="2" w:tplc="54C6BF7C">
      <w:numFmt w:val="bullet"/>
      <w:lvlText w:val="•"/>
      <w:lvlJc w:val="left"/>
      <w:pPr>
        <w:ind w:left="3148" w:hanging="604"/>
      </w:pPr>
      <w:rPr>
        <w:rFonts w:hint="default"/>
      </w:rPr>
    </w:lvl>
    <w:lvl w:ilvl="3" w:tplc="6E46DB4E">
      <w:numFmt w:val="bullet"/>
      <w:lvlText w:val="•"/>
      <w:lvlJc w:val="left"/>
      <w:pPr>
        <w:ind w:left="4183" w:hanging="604"/>
      </w:pPr>
      <w:rPr>
        <w:rFonts w:hint="default"/>
      </w:rPr>
    </w:lvl>
    <w:lvl w:ilvl="4" w:tplc="FD7E561C">
      <w:numFmt w:val="bullet"/>
      <w:lvlText w:val="•"/>
      <w:lvlJc w:val="left"/>
      <w:pPr>
        <w:ind w:left="5217" w:hanging="604"/>
      </w:pPr>
      <w:rPr>
        <w:rFonts w:hint="default"/>
      </w:rPr>
    </w:lvl>
    <w:lvl w:ilvl="5" w:tplc="CBA65504">
      <w:numFmt w:val="bullet"/>
      <w:lvlText w:val="•"/>
      <w:lvlJc w:val="left"/>
      <w:pPr>
        <w:ind w:left="6252" w:hanging="604"/>
      </w:pPr>
      <w:rPr>
        <w:rFonts w:hint="default"/>
      </w:rPr>
    </w:lvl>
    <w:lvl w:ilvl="6" w:tplc="DD16575E">
      <w:numFmt w:val="bullet"/>
      <w:lvlText w:val="•"/>
      <w:lvlJc w:val="left"/>
      <w:pPr>
        <w:ind w:left="7286" w:hanging="604"/>
      </w:pPr>
      <w:rPr>
        <w:rFonts w:hint="default"/>
      </w:rPr>
    </w:lvl>
    <w:lvl w:ilvl="7" w:tplc="3692FE98">
      <w:numFmt w:val="bullet"/>
      <w:lvlText w:val="•"/>
      <w:lvlJc w:val="left"/>
      <w:pPr>
        <w:ind w:left="8320" w:hanging="604"/>
      </w:pPr>
      <w:rPr>
        <w:rFonts w:hint="default"/>
      </w:rPr>
    </w:lvl>
    <w:lvl w:ilvl="8" w:tplc="B1048CBA">
      <w:numFmt w:val="bullet"/>
      <w:lvlText w:val="•"/>
      <w:lvlJc w:val="left"/>
      <w:pPr>
        <w:ind w:left="9355" w:hanging="60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F50"/>
    <w:rsid w:val="001D0FF6"/>
    <w:rsid w:val="002818CE"/>
    <w:rsid w:val="0031694E"/>
    <w:rsid w:val="00324FD5"/>
    <w:rsid w:val="0059406F"/>
    <w:rsid w:val="005C557E"/>
    <w:rsid w:val="0065197F"/>
    <w:rsid w:val="00A27DD1"/>
    <w:rsid w:val="00A73F50"/>
    <w:rsid w:val="00CA3DB4"/>
    <w:rsid w:val="00D214F1"/>
    <w:rsid w:val="00D64C75"/>
    <w:rsid w:val="00D72D14"/>
    <w:rsid w:val="00E5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E33E1"/>
  <w14:defaultImageDpi w14:val="32767"/>
  <w15:chartTrackingRefBased/>
  <w15:docId w15:val="{5E251FB9-B35F-394A-8855-6A199858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A73F5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73F50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A73F50"/>
    <w:rPr>
      <w:rFonts w:ascii="Arial" w:eastAsia="Arial" w:hAnsi="Arial" w:cs="Arial"/>
      <w:sz w:val="22"/>
      <w:szCs w:val="22"/>
      <w:lang w:val="en-US"/>
    </w:rPr>
  </w:style>
  <w:style w:type="paragraph" w:styleId="Paragrafoelenco">
    <w:name w:val="List Paragraph"/>
    <w:basedOn w:val="Normale"/>
    <w:uiPriority w:val="1"/>
    <w:qFormat/>
    <w:rsid w:val="00A73F50"/>
    <w:pPr>
      <w:ind w:left="1038" w:right="698" w:firstLine="8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massavelli</dc:creator>
  <cp:keywords/>
  <dc:description/>
  <cp:lastModifiedBy>marco massavelli</cp:lastModifiedBy>
  <cp:revision>7</cp:revision>
  <dcterms:created xsi:type="dcterms:W3CDTF">2020-11-22T09:31:00Z</dcterms:created>
  <dcterms:modified xsi:type="dcterms:W3CDTF">2020-11-22T10:00:00Z</dcterms:modified>
</cp:coreProperties>
</file>